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gliatabella"/>
        <w:tblW w:w="11607" w:type="dxa"/>
        <w:tblInd w:w="-743" w:type="dxa"/>
        <w:tblLook w:val="04A0"/>
      </w:tblPr>
      <w:tblGrid>
        <w:gridCol w:w="11683"/>
      </w:tblGrid>
      <w:tr w:rsidR="00AF4FB0" w:rsidRPr="009E374A" w:rsidTr="00F97F5A">
        <w:trPr>
          <w:trHeight w:val="13514"/>
        </w:trPr>
        <w:tc>
          <w:tcPr>
            <w:tcW w:w="11607" w:type="dxa"/>
            <w:shd w:val="clear" w:color="auto" w:fill="92D050"/>
          </w:tcPr>
          <w:p w:rsidR="00AF4FB0" w:rsidRPr="007533D3" w:rsidRDefault="00370C39" w:rsidP="00FA6A70">
            <w:pPr>
              <w:pStyle w:val="Sottotitolo"/>
              <w:rPr>
                <w:b/>
                <w:color w:val="000000" w:themeColor="text1"/>
                <w:sz w:val="22"/>
                <w:szCs w:val="22"/>
              </w:rPr>
            </w:pPr>
            <w:r w:rsidRPr="00370C39">
              <w:rPr>
                <w:noProof/>
                <w:color w:val="0070C0"/>
                <w:lang w:eastAsia="it-IT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asella di testo 1" o:spid="_x0000_s1026" type="#_x0000_t202" style="position:absolute;margin-left:-3.15pt;margin-top:.1pt;width:573.35pt;height:54.95pt;z-index:25165926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" fillcolor="#254163 [1636]" stroked="f">
                  <v:fill color2="#4477b6 [3012]" rotate="t" angle="180" colors="0 #2c5d98;52429f #3c7bc7;1 #3a7ccb" focus="100%" type="gradient">
                    <o:fill v:ext="view" type="gradientUnscaled"/>
                  </v:fill>
                  <v:shadow on="t" color="black" opacity="22937f" origin=",.5" offset="0,.63889mm"/>
                  <v:textbox style="mso-next-textbox:#Casella di testo 1">
                    <w:txbxContent>
                      <w:p w:rsidR="00AF4FB0" w:rsidRPr="00FA6A70" w:rsidRDefault="00433DBD" w:rsidP="004B58E6">
                        <w:pPr>
                          <w:jc w:val="center"/>
                          <w:rPr>
                            <w:color w:val="1F497D" w:themeColor="text2"/>
                            <w:spacing w:val="10"/>
                            <w:sz w:val="36"/>
                            <w:szCs w:val="36"/>
                          </w:rPr>
                        </w:pPr>
                        <w:r w:rsidRPr="00433DBD">
                          <w:rPr>
                            <w:b/>
                            <w:color w:val="FF0000"/>
                            <w:spacing w:val="10"/>
                            <w:sz w:val="32"/>
                            <w:szCs w:val="32"/>
                          </w:rPr>
                          <w:t>EFFICACIA DEL NUOVO SISTEMA AMEL NEL TRATTAMENTO DELLA SPALLA DOLOROSA SEMPLICE.</w:t>
                        </w:r>
                      </w:p>
                    </w:txbxContent>
                  </v:textbox>
                  <w10:wrap type="square"/>
                </v:shape>
              </w:pict>
            </w:r>
            <w:r w:rsidR="000373E1" w:rsidRPr="00451259">
              <w:rPr>
                <w:b/>
                <w:color w:val="000000" w:themeColor="text1"/>
                <w:sz w:val="22"/>
                <w:szCs w:val="22"/>
              </w:rPr>
              <w:t xml:space="preserve"> </w:t>
            </w:r>
            <w:r w:rsidR="008B52F9" w:rsidRPr="00451259">
              <w:rPr>
                <w:b/>
                <w:color w:val="000000" w:themeColor="text1"/>
                <w:sz w:val="22"/>
                <w:szCs w:val="22"/>
              </w:rPr>
              <w:t>ALBANESE A.</w:t>
            </w:r>
            <w:r w:rsidR="008B52F9">
              <w:rPr>
                <w:b/>
                <w:color w:val="000000" w:themeColor="text1"/>
                <w:sz w:val="22"/>
                <w:szCs w:val="22"/>
              </w:rPr>
              <w:t>°,</w:t>
            </w:r>
            <w:r w:rsidR="00065788" w:rsidRPr="00451259">
              <w:rPr>
                <w:b/>
                <w:color w:val="000000" w:themeColor="text1"/>
                <w:sz w:val="22"/>
                <w:szCs w:val="22"/>
              </w:rPr>
              <w:t>BATTISTI</w:t>
            </w:r>
            <w:r w:rsidR="00B261CD" w:rsidRPr="00451259">
              <w:rPr>
                <w:b/>
                <w:color w:val="000000" w:themeColor="text1"/>
                <w:sz w:val="22"/>
                <w:szCs w:val="22"/>
              </w:rPr>
              <w:t xml:space="preserve"> E.</w:t>
            </w:r>
            <w:r w:rsidR="000373E1" w:rsidRPr="00451259">
              <w:rPr>
                <w:b/>
                <w:color w:val="000000" w:themeColor="text1"/>
                <w:sz w:val="22"/>
                <w:szCs w:val="22"/>
              </w:rPr>
              <w:t>°,</w:t>
            </w:r>
            <w:r w:rsidR="002B29C0">
              <w:rPr>
                <w:b/>
                <w:color w:val="000000" w:themeColor="text1"/>
                <w:sz w:val="22"/>
                <w:szCs w:val="22"/>
              </w:rPr>
              <w:t xml:space="preserve">  </w:t>
            </w:r>
            <w:r w:rsidR="00B261CD">
              <w:rPr>
                <w:b/>
                <w:color w:val="000000" w:themeColor="text1"/>
                <w:sz w:val="22"/>
                <w:szCs w:val="22"/>
              </w:rPr>
              <w:t>FILIPPI</w:t>
            </w:r>
            <w:r w:rsidR="00B261CD" w:rsidRPr="002B29C0">
              <w:rPr>
                <w:b/>
                <w:color w:val="000000" w:themeColor="text1"/>
                <w:sz w:val="22"/>
                <w:szCs w:val="22"/>
              </w:rPr>
              <w:t xml:space="preserve"> F.</w:t>
            </w:r>
            <w:r w:rsidR="002B29C0" w:rsidRPr="00451259">
              <w:rPr>
                <w:b/>
                <w:color w:val="000000" w:themeColor="text1"/>
                <w:sz w:val="22"/>
                <w:szCs w:val="22"/>
                <w:vertAlign w:val="superscript"/>
              </w:rPr>
              <w:t>#</w:t>
            </w:r>
            <w:r w:rsidR="002B29C0" w:rsidRPr="004B58E6">
              <w:rPr>
                <w:b/>
                <w:color w:val="000000" w:themeColor="text1"/>
                <w:sz w:val="22"/>
                <w:szCs w:val="22"/>
              </w:rPr>
              <w:t>,</w:t>
            </w:r>
          </w:p>
          <w:p w:rsidR="00AF4FB0" w:rsidRDefault="000373E1" w:rsidP="000373E1">
            <w:pPr>
              <w:pStyle w:val="Sottotitolo"/>
              <w:rPr>
                <w:b/>
                <w:color w:val="auto"/>
                <w:sz w:val="22"/>
                <w:szCs w:val="22"/>
              </w:rPr>
            </w:pPr>
            <w:proofErr w:type="spellStart"/>
            <w:r w:rsidRPr="00451259">
              <w:rPr>
                <w:b/>
                <w:color w:val="auto"/>
                <w:sz w:val="22"/>
                <w:szCs w:val="22"/>
              </w:rPr>
              <w:t>°DSF</w:t>
            </w:r>
            <w:r w:rsidR="00451259">
              <w:rPr>
                <w:b/>
                <w:color w:val="auto"/>
                <w:sz w:val="22"/>
                <w:szCs w:val="22"/>
              </w:rPr>
              <w:t>TA</w:t>
            </w:r>
            <w:proofErr w:type="spellEnd"/>
            <w:r w:rsidR="00451259">
              <w:rPr>
                <w:b/>
                <w:color w:val="auto"/>
                <w:sz w:val="22"/>
                <w:szCs w:val="22"/>
              </w:rPr>
              <w:t xml:space="preserve">  Università di Siena  </w:t>
            </w:r>
            <w:r w:rsidRPr="00451259">
              <w:rPr>
                <w:b/>
                <w:color w:val="auto"/>
                <w:sz w:val="22"/>
                <w:szCs w:val="22"/>
              </w:rPr>
              <w:t>Italia</w:t>
            </w:r>
            <w:r w:rsidR="006B6BE0">
              <w:rPr>
                <w:b/>
                <w:color w:val="auto"/>
                <w:sz w:val="22"/>
                <w:szCs w:val="22"/>
              </w:rPr>
              <w:t xml:space="preserve">          </w:t>
            </w:r>
            <w:r w:rsidR="00451259">
              <w:rPr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451259">
              <w:rPr>
                <w:b/>
                <w:color w:val="auto"/>
                <w:sz w:val="22"/>
                <w:szCs w:val="22"/>
              </w:rPr>
              <w:t>#</w:t>
            </w:r>
            <w:r w:rsidR="00B34049" w:rsidRPr="00B34049">
              <w:rPr>
                <w:b/>
                <w:color w:val="auto"/>
                <w:sz w:val="22"/>
                <w:szCs w:val="22"/>
              </w:rPr>
              <w:t>Sanimed</w:t>
            </w:r>
            <w:proofErr w:type="spellEnd"/>
            <w:r w:rsidR="00B34049" w:rsidRPr="00B34049">
              <w:rPr>
                <w:b/>
                <w:color w:val="auto"/>
                <w:sz w:val="22"/>
                <w:szCs w:val="22"/>
              </w:rPr>
              <w:t xml:space="preserve">, </w:t>
            </w:r>
            <w:proofErr w:type="spellStart"/>
            <w:r w:rsidR="00B34049" w:rsidRPr="00B34049">
              <w:rPr>
                <w:b/>
                <w:color w:val="auto"/>
                <w:sz w:val="22"/>
                <w:szCs w:val="22"/>
              </w:rPr>
              <w:t>Fisiomed</w:t>
            </w:r>
            <w:proofErr w:type="spellEnd"/>
            <w:r w:rsidR="00B34049" w:rsidRPr="00B34049">
              <w:rPr>
                <w:b/>
                <w:color w:val="auto"/>
                <w:sz w:val="22"/>
                <w:szCs w:val="22"/>
              </w:rPr>
              <w:t>, Vicenza</w:t>
            </w:r>
          </w:p>
          <w:p w:rsidR="007533D3" w:rsidRDefault="007533D3" w:rsidP="007E4893">
            <w:pPr>
              <w:jc w:val="both"/>
              <w:rPr>
                <w:rFonts w:ascii="Times New Roman" w:eastAsiaTheme="majorEastAsia" w:hAnsi="Times New Roman" w:cs="Times New Roman"/>
                <w:b/>
                <w:iCs/>
                <w:color w:val="FF0000"/>
                <w:spacing w:val="15"/>
                <w:sz w:val="24"/>
                <w:szCs w:val="24"/>
              </w:rPr>
            </w:pPr>
          </w:p>
          <w:p w:rsidR="00B34049" w:rsidRPr="008B52F9" w:rsidRDefault="002B29C0" w:rsidP="007E4893">
            <w:pPr>
              <w:jc w:val="both"/>
              <w:rPr>
                <w:rFonts w:ascii="Times New Roman" w:eastAsiaTheme="majorEastAsia" w:hAnsi="Times New Roman" w:cs="Times New Roman"/>
                <w:b/>
                <w:iCs/>
                <w:color w:val="FF0000"/>
                <w:spacing w:val="15"/>
                <w:sz w:val="24"/>
                <w:szCs w:val="24"/>
              </w:rPr>
            </w:pPr>
            <w:r w:rsidRPr="008B52F9">
              <w:rPr>
                <w:rFonts w:ascii="Times New Roman" w:eastAsiaTheme="majorEastAsia" w:hAnsi="Times New Roman" w:cs="Times New Roman"/>
                <w:b/>
                <w:iCs/>
                <w:color w:val="FF0000"/>
                <w:spacing w:val="15"/>
                <w:sz w:val="24"/>
                <w:szCs w:val="24"/>
              </w:rPr>
              <w:t>SCOPO DEL LAVORO</w:t>
            </w:r>
          </w:p>
          <w:p w:rsidR="00433DBD" w:rsidRPr="00433DBD" w:rsidRDefault="00433DBD" w:rsidP="00433DBD">
            <w:pPr>
              <w:jc w:val="both"/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</w:pPr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 xml:space="preserve">Con il termine di periartrite della spalla vengono indicate alcune affezioni a patogenesi mista, </w:t>
            </w:r>
            <w:proofErr w:type="spellStart"/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>degenerativo-infiammatoria</w:t>
            </w:r>
            <w:proofErr w:type="spellEnd"/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 xml:space="preserve"> e ad eziologia prevalentemente microtraumatica, che interessano le strutture tendinee ad inserzione </w:t>
            </w:r>
            <w:proofErr w:type="spellStart"/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>periarticolare</w:t>
            </w:r>
            <w:proofErr w:type="spellEnd"/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 xml:space="preserve"> (cuffia dei rotatori e capo lungo del bicipite) e la borsa </w:t>
            </w:r>
            <w:proofErr w:type="spellStart"/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>sub-acromiale</w:t>
            </w:r>
            <w:proofErr w:type="spellEnd"/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>. A seconda delle caratteristiche anatomo-patologiche e le localizzazioni anatomiche delle lesioni, si possono avere quadri clinici diversi, tutti comunque caratterizzati dalla localizzazione monolaterale della sintomatologia, dominata dal dolore e dalla limitazione funzionale. Tra i vari quadri di periartrite della spalla, la spalla dolorosa semplice (</w:t>
            </w:r>
            <w:proofErr w:type="spellStart"/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>SDs</w:t>
            </w:r>
            <w:proofErr w:type="spellEnd"/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 xml:space="preserve">) è l’espressione di una lesione tendinea esigua che interessa la cuffia dei rotatori e che è caratterizzata dalla prevalenza della componente </w:t>
            </w:r>
            <w:proofErr w:type="spellStart"/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>algica</w:t>
            </w:r>
            <w:proofErr w:type="spellEnd"/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 xml:space="preserve"> sulla limitazione della motilità articolare. </w:t>
            </w:r>
          </w:p>
          <w:p w:rsidR="002B29C0" w:rsidRPr="00F97F5A" w:rsidRDefault="00433DBD" w:rsidP="007E4893">
            <w:pPr>
              <w:jc w:val="both"/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</w:pPr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 xml:space="preserve">L'efficacia analgesico-terapeutica e la tollerabilità di un campo elettromagnetico ELF, modulato alla frequenza di 100 Hz con forma d'onda sinusoidale e induzione media di pochi gauss, è stata dimostrata in numerosi studi condotti su varie patologie </w:t>
            </w:r>
            <w:proofErr w:type="spellStart"/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>iperalgiche</w:t>
            </w:r>
            <w:proofErr w:type="spellEnd"/>
            <w:r w:rsidRPr="00433DBD">
              <w:rPr>
                <w:rFonts w:ascii="Times New Roman" w:eastAsiaTheme="majorEastAsia" w:hAnsi="Times New Roman" w:cs="Times New Roman"/>
                <w:b/>
                <w:iCs/>
                <w:color w:val="000000" w:themeColor="text1"/>
                <w:spacing w:val="15"/>
                <w:sz w:val="24"/>
                <w:szCs w:val="24"/>
              </w:rPr>
              <w:t>, in particolare dell'apparato locomotore.</w:t>
            </w:r>
          </w:p>
          <w:tbl>
            <w:tblPr>
              <w:tblStyle w:val="Grigliatabella"/>
              <w:tblW w:w="11389" w:type="dxa"/>
              <w:tblInd w:w="1" w:type="dxa"/>
              <w:tblLook w:val="04A0"/>
            </w:tblPr>
            <w:tblGrid>
              <w:gridCol w:w="7128"/>
              <w:gridCol w:w="4261"/>
            </w:tblGrid>
            <w:tr w:rsidR="00D27EF6" w:rsidTr="0062343D">
              <w:trPr>
                <w:trHeight w:val="4122"/>
              </w:trPr>
              <w:tc>
                <w:tcPr>
                  <w:tcW w:w="71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92CDDC" w:themeFill="accent5" w:themeFillTint="99"/>
                </w:tcPr>
                <w:p w:rsidR="002B29C0" w:rsidRPr="002B29C0" w:rsidRDefault="002B29C0" w:rsidP="007E4893">
                  <w:pPr>
                    <w:jc w:val="both"/>
                    <w:rPr>
                      <w:rFonts w:ascii="Verdana" w:hAnsi="Verdana" w:cs="Times New Roman"/>
                    </w:rPr>
                  </w:pPr>
                  <w:r w:rsidRPr="002B29C0">
                    <w:rPr>
                      <w:rFonts w:ascii="Verdana" w:hAnsi="Verdana" w:cs="Times New Roman"/>
                      <w:b/>
                    </w:rPr>
                    <w:t>MATERIALI E METODI</w:t>
                  </w:r>
                  <w:r w:rsidRPr="002B29C0">
                    <w:rPr>
                      <w:rFonts w:ascii="Verdana" w:hAnsi="Verdana" w:cs="Times New Roman"/>
                    </w:rPr>
                    <w:t xml:space="preserve"> </w:t>
                  </w:r>
                </w:p>
                <w:p w:rsidR="00433DBD" w:rsidRPr="00433DBD" w:rsidRDefault="00433DBD" w:rsidP="00433DBD">
                  <w:pPr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433DBD">
                    <w:rPr>
                      <w:rFonts w:ascii="Times New Roman" w:hAnsi="Times New Roman" w:cs="Times New Roman"/>
                      <w:sz w:val="24"/>
                      <w:szCs w:val="24"/>
                    </w:rPr>
                    <w:t>Nella presente ricerca gli autori hanno sperimentato un nuovo tipo di campo magnetico pulsato (CEMP) sviluppato da AMEL, a variazione di frequenza, la cui frequenza si modifica nel tempo, in modo che, nella durata di una singola applicazione possano ricorrere tutti i codici ammessi, confrontandolo con un campo ELF (</w:t>
                  </w:r>
                  <w:proofErr w:type="spellStart"/>
                  <w:r w:rsidRPr="00433DBD">
                    <w:rPr>
                      <w:rFonts w:ascii="Times New Roman" w:hAnsi="Times New Roman" w:cs="Times New Roman"/>
                      <w:sz w:val="24"/>
                      <w:szCs w:val="24"/>
                    </w:rPr>
                    <w:t>Extremely</w:t>
                  </w:r>
                  <w:proofErr w:type="spellEnd"/>
                  <w:r w:rsidRPr="00433DBD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Low </w:t>
                  </w:r>
                  <w:proofErr w:type="spellStart"/>
                  <w:r w:rsidRPr="00433DBD">
                    <w:rPr>
                      <w:rFonts w:ascii="Times New Roman" w:hAnsi="Times New Roman" w:cs="Times New Roman"/>
                      <w:sz w:val="24"/>
                      <w:szCs w:val="24"/>
                    </w:rPr>
                    <w:t>Frequency</w:t>
                  </w:r>
                  <w:proofErr w:type="spellEnd"/>
                  <w:r w:rsidRPr="00433DBD">
                    <w:rPr>
                      <w:rFonts w:ascii="Times New Roman" w:hAnsi="Times New Roman" w:cs="Times New Roman"/>
                      <w:sz w:val="24"/>
                      <w:szCs w:val="24"/>
                    </w:rPr>
                    <w:t>), cioè un campo magnetico a bassa frequenza.</w:t>
                  </w:r>
                </w:p>
                <w:p w:rsidR="00D1191B" w:rsidRDefault="00433DBD" w:rsidP="00433DBD">
                  <w:pPr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433DBD">
                    <w:rPr>
                      <w:rFonts w:ascii="Times New Roman" w:hAnsi="Times New Roman" w:cs="Times New Roman"/>
                      <w:sz w:val="24"/>
                      <w:szCs w:val="24"/>
                    </w:rPr>
                    <w:t>Ai fini del confronto sono stati arruolati 60 pazienti (28 donne e 32 uomini, di età compresa tra i 37 e i 66 anni), affetti da spalla dolorosa semplice, suddivisi in maniera randomizzata in tre gruppi di 20 soggetti ciascuno e sottoposti a trattamento di 30 minuti al giorno per 20 giorni. Un gruppo è stato esposto al CEMP AMEL, un altro al campo ELF, un terzo a trattamento simulato. Il campo simulato è stato inserito per escludere un effetto placebo. In tutti i pazienti è stato valutato prima dell’inizio, al termine del trattamento e dopo 30 giorni la scala del dolore e la funzionalità articolare.</w:t>
                  </w:r>
                </w:p>
                <w:p w:rsidR="00121AAF" w:rsidRPr="00D27EF6" w:rsidRDefault="00121AAF" w:rsidP="00433DBD">
                  <w:pPr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426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DBE5F1" w:themeFill="accent1" w:themeFillTint="33"/>
                </w:tcPr>
                <w:p w:rsidR="007E4893" w:rsidRPr="007E4893" w:rsidRDefault="008B52F9" w:rsidP="007E4893">
                  <w:pPr>
                    <w:jc w:val="both"/>
                    <w:rPr>
                      <w:rFonts w:ascii="Verdana" w:hAnsi="Verdana"/>
                      <w:b/>
                    </w:rPr>
                  </w:pPr>
                  <w:r>
                    <w:rPr>
                      <w:rFonts w:ascii="Verdana" w:hAnsi="Verdana"/>
                      <w:b/>
                    </w:rPr>
                    <w:t>RISULTATI</w:t>
                  </w:r>
                </w:p>
                <w:p w:rsidR="00D1191B" w:rsidRPr="000F2766" w:rsidRDefault="00433DBD" w:rsidP="004B58E6">
                  <w:pPr>
                    <w:jc w:val="both"/>
                    <w:rPr>
                      <w:sz w:val="24"/>
                      <w:szCs w:val="24"/>
                    </w:rPr>
                  </w:pPr>
                  <w:r w:rsidRPr="00433DBD">
                    <w:rPr>
                      <w:rFonts w:ascii="Times New Roman" w:hAnsi="Times New Roman" w:cs="Times New Roman"/>
                      <w:sz w:val="24"/>
                      <w:szCs w:val="24"/>
                    </w:rPr>
                    <w:t>I pazienti dei gruppi trattati con CEMP AMEL e con campo ELF hanno concluso la terapia senza effetti collaterali e senza assumere antidolorifici e antiinfiammatori steroidei e non steroidei, con miglioramento della sintomatologia dolorosa soggettiva e della funzionalità articolare, miglioramento che persiste al controllo dopo un mese. Nel gruppo con trattamento simulato non si è riscontrato alcun miglioramento dei parametri. Inoltre, si è riscontrato che nei pazienti trattati con CEMP AMEL la risposta è avvenuta in tempi più rapidi.</w:t>
                  </w:r>
                </w:p>
              </w:tc>
            </w:tr>
          </w:tbl>
          <w:p w:rsidR="008C7771" w:rsidRDefault="00D1191B" w:rsidP="00B34049">
            <w:pPr>
              <w:jc w:val="both"/>
              <w:rPr>
                <w:rFonts w:ascii="Verdana" w:eastAsiaTheme="majorEastAsia" w:hAnsi="Verdana" w:cstheme="majorBidi"/>
                <w:b/>
                <w:iCs/>
                <w:color w:val="FF0000"/>
                <w:spacing w:val="15"/>
              </w:rPr>
            </w:pPr>
            <w:r w:rsidRPr="007E4893">
              <w:rPr>
                <w:rFonts w:ascii="Verdana" w:eastAsiaTheme="majorEastAsia" w:hAnsi="Verdana" w:cstheme="majorBidi"/>
                <w:b/>
                <w:iCs/>
                <w:color w:val="FF0000"/>
                <w:spacing w:val="15"/>
              </w:rPr>
              <w:t>CONCLUSIO</w:t>
            </w:r>
            <w:r w:rsidR="008C7771">
              <w:rPr>
                <w:rFonts w:ascii="Verdana" w:eastAsiaTheme="majorEastAsia" w:hAnsi="Verdana" w:cstheme="majorBidi"/>
                <w:b/>
                <w:iCs/>
                <w:color w:val="FF0000"/>
                <w:spacing w:val="15"/>
              </w:rPr>
              <w:t>NE</w:t>
            </w:r>
          </w:p>
          <w:p w:rsidR="00121AAF" w:rsidRPr="009E374A" w:rsidRDefault="008F0DF1" w:rsidP="00B34049">
            <w:pPr>
              <w:jc w:val="both"/>
              <w:rPr>
                <w:rFonts w:ascii="Times New Roman" w:eastAsiaTheme="majorEastAsia" w:hAnsi="Times New Roman" w:cs="Times New Roman"/>
                <w:iCs/>
                <w:spacing w:val="15"/>
                <w:sz w:val="24"/>
                <w:szCs w:val="24"/>
              </w:rPr>
            </w:pPr>
            <w:r w:rsidRPr="008F0DF1">
              <w:rPr>
                <w:rFonts w:ascii="Times New Roman" w:eastAsiaTheme="majorEastAsia" w:hAnsi="Times New Roman" w:cs="Times New Roman"/>
                <w:iCs/>
                <w:spacing w:val="15"/>
                <w:sz w:val="24"/>
                <w:szCs w:val="24"/>
              </w:rPr>
              <w:t xml:space="preserve">È ben conosciuto che l’esposizione a CEMP abbia una attività antidolorifica e che i CEMP siano stati introdotti nel trattamento del dolore e il nostro studio preliminare sembra confortare tali indicazioni. Dai dati raccolti si ricava che i campi magnetici pulsati possono essere utili nel trattamento della spalla dolorosa semplice e che gli effetti del nuovo sistema CEMP AMEL, per la sua tollerabilità e assenza di effetti collaterali e dopo ulteriori studi con casistica più ampia che confermino le qualità, lo rendono utilizzabile in molte patologie </w:t>
            </w:r>
            <w:proofErr w:type="spellStart"/>
            <w:r w:rsidRPr="008F0DF1">
              <w:rPr>
                <w:rFonts w:ascii="Times New Roman" w:eastAsiaTheme="majorEastAsia" w:hAnsi="Times New Roman" w:cs="Times New Roman"/>
                <w:iCs/>
                <w:spacing w:val="15"/>
                <w:sz w:val="24"/>
                <w:szCs w:val="24"/>
              </w:rPr>
              <w:t>algiche</w:t>
            </w:r>
            <w:proofErr w:type="spellEnd"/>
            <w:r w:rsidRPr="008F0DF1">
              <w:rPr>
                <w:rFonts w:ascii="Times New Roman" w:eastAsiaTheme="majorEastAsia" w:hAnsi="Times New Roman" w:cs="Times New Roman"/>
                <w:iCs/>
                <w:spacing w:val="15"/>
                <w:sz w:val="24"/>
                <w:szCs w:val="24"/>
              </w:rPr>
              <w:t>.</w:t>
            </w:r>
          </w:p>
          <w:p w:rsidR="007E4893" w:rsidRPr="007E4893" w:rsidRDefault="00451259" w:rsidP="007E4893">
            <w:pPr>
              <w:jc w:val="both"/>
              <w:rPr>
                <w:rFonts w:ascii="Verdana" w:eastAsiaTheme="majorEastAsia" w:hAnsi="Verdana" w:cstheme="majorBidi"/>
                <w:b/>
                <w:i/>
                <w:iCs/>
                <w:color w:val="FFFF00"/>
                <w:spacing w:val="15"/>
                <w:sz w:val="18"/>
                <w:szCs w:val="18"/>
              </w:rPr>
            </w:pPr>
            <w:r w:rsidRPr="00E73CEE">
              <w:rPr>
                <w:rFonts w:ascii="Verdana" w:eastAsiaTheme="majorEastAsia" w:hAnsi="Verdana" w:cstheme="majorBidi"/>
                <w:b/>
                <w:i/>
                <w:iCs/>
                <w:color w:val="FFFF00"/>
                <w:spacing w:val="15"/>
                <w:sz w:val="18"/>
                <w:szCs w:val="18"/>
              </w:rPr>
              <w:t>Bibliografia</w:t>
            </w:r>
          </w:p>
          <w:p w:rsidR="00B34049" w:rsidRPr="009E374A" w:rsidRDefault="009E374A" w:rsidP="009E374A">
            <w:pPr>
              <w:pStyle w:val="Paragrafoelenco"/>
              <w:numPr>
                <w:ilvl w:val="0"/>
                <w:numId w:val="7"/>
              </w:numPr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</w:pPr>
            <w:proofErr w:type="spellStart"/>
            <w:r w:rsidRPr="009E374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>Alqunaee</w:t>
            </w:r>
            <w:proofErr w:type="spellEnd"/>
            <w:r w:rsidRPr="009E374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 xml:space="preserve"> M., Galvin, R., &amp;amp; Fahey, T. Diagnostic accuracy of clinical tests for </w:t>
            </w:r>
            <w:proofErr w:type="spellStart"/>
            <w:r w:rsidRPr="009E374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>subacromial</w:t>
            </w:r>
            <w:proofErr w:type="spellEnd"/>
            <w:r w:rsidRPr="009E374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 xml:space="preserve"> impingement syndrome: a systematic review and meta-analysis. Archives of Physical Medicine and Rehabilitation, 2012, 93(2): 229-36.</w:t>
            </w:r>
          </w:p>
          <w:p w:rsidR="009E374A" w:rsidRPr="009E374A" w:rsidRDefault="009E374A" w:rsidP="009E374A">
            <w:pPr>
              <w:pStyle w:val="Paragrafoelenco"/>
              <w:numPr>
                <w:ilvl w:val="0"/>
                <w:numId w:val="7"/>
              </w:numPr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</w:pPr>
            <w:proofErr w:type="spellStart"/>
            <w:r w:rsidRPr="009E374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>Osti</w:t>
            </w:r>
            <w:proofErr w:type="spellEnd"/>
            <w:r w:rsidRPr="009E374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 xml:space="preserve"> L., Del </w:t>
            </w:r>
            <w:proofErr w:type="spellStart"/>
            <w:r w:rsidRPr="009E374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>Buono</w:t>
            </w:r>
            <w:proofErr w:type="spellEnd"/>
            <w:r w:rsidRPr="009E374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 xml:space="preserve"> A., </w:t>
            </w:r>
            <w:proofErr w:type="spellStart"/>
            <w:r w:rsidRPr="009E374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>Maffulli</w:t>
            </w:r>
            <w:proofErr w:type="spellEnd"/>
            <w:r w:rsidRPr="009E374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 xml:space="preserve"> N., Pulsed Electromagnetic Fields after rotator cuff repair: a randomized, controlled study. Orthopedics. 2015; 38(3):223-8.</w:t>
            </w:r>
          </w:p>
          <w:p w:rsidR="00451259" w:rsidRPr="00F97F5A" w:rsidRDefault="00F97F5A" w:rsidP="00F97F5A">
            <w:pPr>
              <w:pStyle w:val="Paragrafoelenco"/>
              <w:numPr>
                <w:ilvl w:val="0"/>
                <w:numId w:val="7"/>
              </w:numPr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</w:pPr>
            <w:proofErr w:type="spellStart"/>
            <w:r w:rsidRPr="00F97F5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>Topa</w:t>
            </w:r>
            <w:proofErr w:type="spellEnd"/>
            <w:r w:rsidRPr="00F97F5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 xml:space="preserve"> G., Ventra M., </w:t>
            </w:r>
            <w:proofErr w:type="spellStart"/>
            <w:r w:rsidRPr="00F97F5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>Dato</w:t>
            </w:r>
            <w:proofErr w:type="spellEnd"/>
            <w:r w:rsidRPr="00F97F5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 xml:space="preserve"> G., </w:t>
            </w:r>
            <w:proofErr w:type="spellStart"/>
            <w:r w:rsidRPr="00F97F5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>Matonti</w:t>
            </w:r>
            <w:proofErr w:type="spellEnd"/>
            <w:r w:rsidRPr="00F97F5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 xml:space="preserve"> C., Analgesic effect of textile supports with Static Field Magnets in patients with </w:t>
            </w:r>
            <w:proofErr w:type="spellStart"/>
            <w:r w:rsidRPr="00F97F5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>Osteoarticular</w:t>
            </w:r>
            <w:proofErr w:type="spellEnd"/>
            <w:r w:rsidRPr="00F97F5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 xml:space="preserve"> Pain Syndrome: results of a randomized, placebo controlled, double blind clinical trial, Orthopedic e </w:t>
            </w:r>
            <w:proofErr w:type="spellStart"/>
            <w:r w:rsidRPr="00F97F5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>Muscolar</w:t>
            </w:r>
            <w:proofErr w:type="spellEnd"/>
            <w:r w:rsidRPr="00F97F5A">
              <w:rPr>
                <w:rFonts w:ascii="Verdana" w:eastAsiaTheme="majorEastAsia" w:hAnsi="Verdana" w:cstheme="majorBidi"/>
                <w:b/>
                <w:i/>
                <w:iCs/>
                <w:spacing w:val="15"/>
                <w:sz w:val="14"/>
                <w:szCs w:val="14"/>
                <w:lang w:val="en-US"/>
              </w:rPr>
              <w:t xml:space="preserve"> System. 2015; 4(1):1000183.</w:t>
            </w:r>
          </w:p>
        </w:tc>
      </w:tr>
    </w:tbl>
    <w:p w:rsidR="003B29DB" w:rsidRPr="003B29DB" w:rsidRDefault="003B29DB" w:rsidP="00B55259">
      <w:pPr>
        <w:rPr>
          <w:lang w:val="en-US"/>
        </w:rPr>
      </w:pPr>
    </w:p>
    <w:sectPr w:rsidR="003B29DB" w:rsidRPr="003B29DB" w:rsidSect="009B0A0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0874" w:rsidRDefault="00290874" w:rsidP="009442A8">
      <w:pPr>
        <w:spacing w:after="0" w:line="240" w:lineRule="auto"/>
      </w:pPr>
      <w:r>
        <w:separator/>
      </w:r>
    </w:p>
  </w:endnote>
  <w:endnote w:type="continuationSeparator" w:id="0">
    <w:p w:rsidR="00290874" w:rsidRDefault="00290874" w:rsidP="009442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2A8" w:rsidRDefault="009442A8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2A8" w:rsidRDefault="009442A8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2A8" w:rsidRDefault="009442A8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0874" w:rsidRDefault="00290874" w:rsidP="009442A8">
      <w:pPr>
        <w:spacing w:after="0" w:line="240" w:lineRule="auto"/>
      </w:pPr>
      <w:r>
        <w:separator/>
      </w:r>
    </w:p>
  </w:footnote>
  <w:footnote w:type="continuationSeparator" w:id="0">
    <w:p w:rsidR="00290874" w:rsidRDefault="00290874" w:rsidP="009442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2A8" w:rsidRDefault="009442A8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2A8" w:rsidRDefault="009442A8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2A8" w:rsidRDefault="009442A8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B529AB"/>
    <w:multiLevelType w:val="hybridMultilevel"/>
    <w:tmpl w:val="073608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AD72A0"/>
    <w:multiLevelType w:val="hybridMultilevel"/>
    <w:tmpl w:val="1260403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087159"/>
    <w:multiLevelType w:val="hybridMultilevel"/>
    <w:tmpl w:val="83DC20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C31D04"/>
    <w:multiLevelType w:val="hybridMultilevel"/>
    <w:tmpl w:val="01A8CD80"/>
    <w:lvl w:ilvl="0" w:tplc="21CA8DA6">
      <w:start w:val="1"/>
      <w:numFmt w:val="bullet"/>
      <w:lvlText w:val="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6ED514D"/>
    <w:multiLevelType w:val="hybridMultilevel"/>
    <w:tmpl w:val="8DB014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6AA1AEE"/>
    <w:multiLevelType w:val="hybridMultilevel"/>
    <w:tmpl w:val="A57054C6"/>
    <w:lvl w:ilvl="0" w:tplc="08CA9512">
      <w:start w:val="1"/>
      <w:numFmt w:val="bullet"/>
      <w:lvlText w:val="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D4433F"/>
    <w:multiLevelType w:val="hybridMultilevel"/>
    <w:tmpl w:val="0A8CDFA0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355BA"/>
    <w:rsid w:val="000101A3"/>
    <w:rsid w:val="000355BA"/>
    <w:rsid w:val="000373E1"/>
    <w:rsid w:val="00065788"/>
    <w:rsid w:val="000F2766"/>
    <w:rsid w:val="00114616"/>
    <w:rsid w:val="00121AAF"/>
    <w:rsid w:val="00290874"/>
    <w:rsid w:val="002B29C0"/>
    <w:rsid w:val="002E1020"/>
    <w:rsid w:val="00340788"/>
    <w:rsid w:val="00346F1C"/>
    <w:rsid w:val="00370C39"/>
    <w:rsid w:val="003B29DB"/>
    <w:rsid w:val="00410572"/>
    <w:rsid w:val="00433DBD"/>
    <w:rsid w:val="00451259"/>
    <w:rsid w:val="0046114D"/>
    <w:rsid w:val="00493D69"/>
    <w:rsid w:val="004A0FA0"/>
    <w:rsid w:val="004B58E6"/>
    <w:rsid w:val="004C25C8"/>
    <w:rsid w:val="004D4F5F"/>
    <w:rsid w:val="00535DE8"/>
    <w:rsid w:val="00542512"/>
    <w:rsid w:val="0057063C"/>
    <w:rsid w:val="00606CDD"/>
    <w:rsid w:val="0062343D"/>
    <w:rsid w:val="00647185"/>
    <w:rsid w:val="006506F1"/>
    <w:rsid w:val="00651A33"/>
    <w:rsid w:val="00666656"/>
    <w:rsid w:val="006709D2"/>
    <w:rsid w:val="006B6BE0"/>
    <w:rsid w:val="006D046D"/>
    <w:rsid w:val="00712EEE"/>
    <w:rsid w:val="007533D3"/>
    <w:rsid w:val="00761DE4"/>
    <w:rsid w:val="00780E8E"/>
    <w:rsid w:val="007E4893"/>
    <w:rsid w:val="00803D49"/>
    <w:rsid w:val="00891D6F"/>
    <w:rsid w:val="008B52F9"/>
    <w:rsid w:val="008C7771"/>
    <w:rsid w:val="008E27BA"/>
    <w:rsid w:val="008F0DF1"/>
    <w:rsid w:val="009442A8"/>
    <w:rsid w:val="009856B7"/>
    <w:rsid w:val="009B0A01"/>
    <w:rsid w:val="009E374A"/>
    <w:rsid w:val="009F3257"/>
    <w:rsid w:val="00A27DE9"/>
    <w:rsid w:val="00A763B9"/>
    <w:rsid w:val="00AF4FB0"/>
    <w:rsid w:val="00B163DB"/>
    <w:rsid w:val="00B261CD"/>
    <w:rsid w:val="00B34049"/>
    <w:rsid w:val="00B55259"/>
    <w:rsid w:val="00BD367A"/>
    <w:rsid w:val="00BE66A4"/>
    <w:rsid w:val="00C16A35"/>
    <w:rsid w:val="00C95963"/>
    <w:rsid w:val="00CF02C9"/>
    <w:rsid w:val="00D07885"/>
    <w:rsid w:val="00D1191B"/>
    <w:rsid w:val="00D11C64"/>
    <w:rsid w:val="00D27EF6"/>
    <w:rsid w:val="00D56AA6"/>
    <w:rsid w:val="00D5707F"/>
    <w:rsid w:val="00D939D6"/>
    <w:rsid w:val="00DB4987"/>
    <w:rsid w:val="00DE7DE1"/>
    <w:rsid w:val="00DF2392"/>
    <w:rsid w:val="00E17878"/>
    <w:rsid w:val="00E24A36"/>
    <w:rsid w:val="00E73CEE"/>
    <w:rsid w:val="00ED1A44"/>
    <w:rsid w:val="00EE4223"/>
    <w:rsid w:val="00F61572"/>
    <w:rsid w:val="00F97F5A"/>
    <w:rsid w:val="00FA6A70"/>
    <w:rsid w:val="00FF07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B0A0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AF4F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AF4FB0"/>
    <w:pPr>
      <w:ind w:left="720"/>
      <w:contextualSpacing/>
    </w:pPr>
  </w:style>
  <w:style w:type="paragraph" w:styleId="Sottotitolo">
    <w:name w:val="Subtitle"/>
    <w:basedOn w:val="Normale"/>
    <w:next w:val="Normale"/>
    <w:link w:val="SottotitoloCarattere"/>
    <w:uiPriority w:val="11"/>
    <w:qFormat/>
    <w:rsid w:val="00FA6A70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A6A7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9442A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442A8"/>
  </w:style>
  <w:style w:type="paragraph" w:styleId="Pidipagina">
    <w:name w:val="footer"/>
    <w:basedOn w:val="Normale"/>
    <w:link w:val="PidipaginaCarattere"/>
    <w:uiPriority w:val="99"/>
    <w:unhideWhenUsed/>
    <w:rsid w:val="009442A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442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5C518E-558D-41FF-8DC3-A643D899A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614</Words>
  <Characters>3502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Albanese</dc:creator>
  <cp:lastModifiedBy>Emilio Battisti</cp:lastModifiedBy>
  <cp:revision>3</cp:revision>
  <dcterms:created xsi:type="dcterms:W3CDTF">2025-09-22T08:30:00Z</dcterms:created>
  <dcterms:modified xsi:type="dcterms:W3CDTF">2025-09-22T08:39:00Z</dcterms:modified>
</cp:coreProperties>
</file>