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1607" w:type="dxa"/>
        <w:tblInd w:w="-743" w:type="dxa"/>
        <w:tblLook w:val="04A0"/>
      </w:tblPr>
      <w:tblGrid>
        <w:gridCol w:w="11683"/>
      </w:tblGrid>
      <w:tr w:rsidR="00AF4FB0" w:rsidRPr="009E374A" w:rsidTr="00F97F5A">
        <w:trPr>
          <w:trHeight w:val="13514"/>
        </w:trPr>
        <w:tc>
          <w:tcPr>
            <w:tcW w:w="11607" w:type="dxa"/>
            <w:shd w:val="clear" w:color="auto" w:fill="92D050"/>
          </w:tcPr>
          <w:p w:rsidR="00AF4FB0" w:rsidRPr="007533D3" w:rsidRDefault="00370C39" w:rsidP="00FA6A70">
            <w:pPr>
              <w:pStyle w:val="Sottotitolo"/>
              <w:rPr>
                <w:b/>
                <w:color w:val="000000" w:themeColor="text1"/>
                <w:sz w:val="22"/>
                <w:szCs w:val="22"/>
              </w:rPr>
            </w:pPr>
            <w:r w:rsidRPr="00370C39">
              <w:rPr>
                <w:noProof/>
                <w:color w:val="0070C0"/>
                <w:lang w:eastAsia="it-I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6" type="#_x0000_t202" style="position:absolute;margin-left:-3.15pt;margin-top:.1pt;width:573.35pt;height:54.9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" fillcolor="#254163 [1636]" stroked="f">
                  <v:fill color2="#4477b6 [3012]" rotate="t" angle="180" colors="0 #2c5d98;52429f #3c7bc7;1 #3a7ccb" focus="100%" type="gradient">
                    <o:fill v:ext="view" type="gradientUnscaled"/>
                  </v:fill>
                  <v:shadow on="t" color="black" opacity="22937f" origin=",.5" offset="0,.63889mm"/>
                  <v:textbox style="mso-next-textbox:#Casella di testo 1">
                    <w:txbxContent>
                      <w:p w:rsidR="00AF4FB0" w:rsidRPr="00FA6A70" w:rsidRDefault="00433DBD" w:rsidP="004B58E6">
                        <w:pPr>
                          <w:jc w:val="center"/>
                          <w:rPr>
                            <w:color w:val="1F497D" w:themeColor="text2"/>
                            <w:spacing w:val="10"/>
                            <w:sz w:val="36"/>
                            <w:szCs w:val="36"/>
                          </w:rPr>
                        </w:pPr>
                        <w:r w:rsidRPr="00433DBD">
                          <w:rPr>
                            <w:b/>
                            <w:color w:val="FF0000"/>
                            <w:spacing w:val="10"/>
                            <w:sz w:val="32"/>
                            <w:szCs w:val="32"/>
                          </w:rPr>
                          <w:t>EFFICACIA DEL NUOVO SISTEMA AMEL NEL TRATTAMENTO DELLA SPALLA DOLOROSA SEMPLICE.</w:t>
                        </w:r>
                      </w:p>
                    </w:txbxContent>
                  </v:textbox>
                  <w10:wrap type="square"/>
                </v:shape>
              </w:pict>
            </w:r>
            <w:r w:rsidR="000373E1" w:rsidRPr="004512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8B52F9" w:rsidRPr="00451259">
              <w:rPr>
                <w:b/>
                <w:color w:val="000000" w:themeColor="text1"/>
                <w:sz w:val="22"/>
                <w:szCs w:val="22"/>
              </w:rPr>
              <w:t>ALBANESE A.</w:t>
            </w:r>
            <w:r w:rsidR="008B52F9">
              <w:rPr>
                <w:b/>
                <w:color w:val="000000" w:themeColor="text1"/>
                <w:sz w:val="22"/>
                <w:szCs w:val="22"/>
              </w:rPr>
              <w:t>°,</w:t>
            </w:r>
            <w:r w:rsidR="00065788" w:rsidRPr="00451259">
              <w:rPr>
                <w:b/>
                <w:color w:val="000000" w:themeColor="text1"/>
                <w:sz w:val="22"/>
                <w:szCs w:val="22"/>
              </w:rPr>
              <w:t>BATTISTI</w:t>
            </w:r>
            <w:r w:rsidR="00B261CD" w:rsidRPr="00451259">
              <w:rPr>
                <w:b/>
                <w:color w:val="000000" w:themeColor="text1"/>
                <w:sz w:val="22"/>
                <w:szCs w:val="22"/>
              </w:rPr>
              <w:t xml:space="preserve"> E.</w:t>
            </w:r>
            <w:r w:rsidR="000373E1" w:rsidRPr="00451259">
              <w:rPr>
                <w:b/>
                <w:color w:val="000000" w:themeColor="text1"/>
                <w:sz w:val="22"/>
                <w:szCs w:val="22"/>
              </w:rPr>
              <w:t>°,</w:t>
            </w:r>
            <w:r w:rsidR="002B29C0">
              <w:rPr>
                <w:b/>
                <w:color w:val="000000" w:themeColor="text1"/>
                <w:sz w:val="22"/>
                <w:szCs w:val="22"/>
              </w:rPr>
              <w:t xml:space="preserve">  </w:t>
            </w:r>
            <w:r w:rsidR="00B261CD">
              <w:rPr>
                <w:b/>
                <w:color w:val="000000" w:themeColor="text1"/>
                <w:sz w:val="22"/>
                <w:szCs w:val="22"/>
              </w:rPr>
              <w:t>FILIPPI</w:t>
            </w:r>
            <w:r w:rsidR="00B261CD" w:rsidRPr="002B29C0">
              <w:rPr>
                <w:b/>
                <w:color w:val="000000" w:themeColor="text1"/>
                <w:sz w:val="22"/>
                <w:szCs w:val="22"/>
              </w:rPr>
              <w:t xml:space="preserve"> F.</w:t>
            </w:r>
            <w:r w:rsidR="002B29C0" w:rsidRPr="00451259">
              <w:rPr>
                <w:b/>
                <w:color w:val="000000" w:themeColor="text1"/>
                <w:sz w:val="22"/>
                <w:szCs w:val="22"/>
                <w:vertAlign w:val="superscript"/>
              </w:rPr>
              <w:t>#</w:t>
            </w:r>
            <w:r w:rsidR="002B29C0" w:rsidRPr="004B58E6">
              <w:rPr>
                <w:b/>
                <w:color w:val="000000" w:themeColor="text1"/>
                <w:sz w:val="22"/>
                <w:szCs w:val="22"/>
              </w:rPr>
              <w:t>,</w:t>
            </w:r>
          </w:p>
          <w:p w:rsidR="00AF4FB0" w:rsidRDefault="000373E1" w:rsidP="000373E1">
            <w:pPr>
              <w:pStyle w:val="Sottotitolo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451259">
              <w:rPr>
                <w:b/>
                <w:color w:val="auto"/>
                <w:sz w:val="22"/>
                <w:szCs w:val="22"/>
              </w:rPr>
              <w:t>°DSF</w:t>
            </w:r>
            <w:r w:rsidR="00451259">
              <w:rPr>
                <w:b/>
                <w:color w:val="auto"/>
                <w:sz w:val="22"/>
                <w:szCs w:val="22"/>
              </w:rPr>
              <w:t>TA</w:t>
            </w:r>
            <w:proofErr w:type="spellEnd"/>
            <w:r w:rsidR="00451259">
              <w:rPr>
                <w:b/>
                <w:color w:val="auto"/>
                <w:sz w:val="22"/>
                <w:szCs w:val="22"/>
              </w:rPr>
              <w:t xml:space="preserve">  Università di Siena  </w:t>
            </w:r>
            <w:r w:rsidRPr="00451259">
              <w:rPr>
                <w:b/>
                <w:color w:val="auto"/>
                <w:sz w:val="22"/>
                <w:szCs w:val="22"/>
              </w:rPr>
              <w:t>Italia</w:t>
            </w:r>
            <w:r w:rsidR="006B6BE0">
              <w:rPr>
                <w:b/>
                <w:color w:val="auto"/>
                <w:sz w:val="22"/>
                <w:szCs w:val="22"/>
              </w:rPr>
              <w:t xml:space="preserve">          </w:t>
            </w:r>
            <w:r w:rsidR="00451259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51259">
              <w:rPr>
                <w:b/>
                <w:color w:val="auto"/>
                <w:sz w:val="22"/>
                <w:szCs w:val="22"/>
              </w:rPr>
              <w:t>#</w:t>
            </w:r>
            <w:r w:rsidR="00B34049" w:rsidRPr="00B34049">
              <w:rPr>
                <w:b/>
                <w:color w:val="auto"/>
                <w:sz w:val="22"/>
                <w:szCs w:val="22"/>
              </w:rPr>
              <w:t>Sanimed</w:t>
            </w:r>
            <w:proofErr w:type="spellEnd"/>
            <w:r w:rsidR="00B34049" w:rsidRPr="00B34049">
              <w:rPr>
                <w:b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B34049" w:rsidRPr="00B34049">
              <w:rPr>
                <w:b/>
                <w:color w:val="auto"/>
                <w:sz w:val="22"/>
                <w:szCs w:val="22"/>
              </w:rPr>
              <w:t>Fisiomed</w:t>
            </w:r>
            <w:proofErr w:type="spellEnd"/>
            <w:r w:rsidR="00B34049" w:rsidRPr="00B34049">
              <w:rPr>
                <w:b/>
                <w:color w:val="auto"/>
                <w:sz w:val="22"/>
                <w:szCs w:val="22"/>
              </w:rPr>
              <w:t>, Vicenza</w:t>
            </w:r>
          </w:p>
          <w:p w:rsidR="007533D3" w:rsidRDefault="007533D3" w:rsidP="007E4893">
            <w:pPr>
              <w:jc w:val="both"/>
              <w:rPr>
                <w:rFonts w:ascii="Times New Roman" w:eastAsiaTheme="majorEastAsia" w:hAnsi="Times New Roman" w:cs="Times New Roman"/>
                <w:b/>
                <w:iCs/>
                <w:color w:val="FF0000"/>
                <w:spacing w:val="15"/>
                <w:sz w:val="24"/>
                <w:szCs w:val="24"/>
              </w:rPr>
            </w:pPr>
          </w:p>
          <w:p w:rsidR="00B34049" w:rsidRPr="008B52F9" w:rsidRDefault="002B29C0" w:rsidP="007E4893">
            <w:pPr>
              <w:jc w:val="both"/>
              <w:rPr>
                <w:rFonts w:ascii="Times New Roman" w:eastAsiaTheme="majorEastAsia" w:hAnsi="Times New Roman" w:cs="Times New Roman"/>
                <w:b/>
                <w:iCs/>
                <w:color w:val="FF0000"/>
                <w:spacing w:val="15"/>
                <w:sz w:val="24"/>
                <w:szCs w:val="24"/>
              </w:rPr>
            </w:pPr>
            <w:r w:rsidRPr="008B52F9">
              <w:rPr>
                <w:rFonts w:ascii="Times New Roman" w:eastAsiaTheme="majorEastAsia" w:hAnsi="Times New Roman" w:cs="Times New Roman"/>
                <w:b/>
                <w:iCs/>
                <w:color w:val="FF0000"/>
                <w:spacing w:val="15"/>
                <w:sz w:val="24"/>
                <w:szCs w:val="24"/>
              </w:rPr>
              <w:t>SCOPO DEL LAVORO</w:t>
            </w:r>
          </w:p>
          <w:p w:rsidR="00433DBD" w:rsidRPr="00433DBD" w:rsidRDefault="00433DBD" w:rsidP="00433DBD">
            <w:pPr>
              <w:jc w:val="both"/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</w:pPr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Con il termine di periartrite della spalla vengono indicate alcune affezioni a patogenesi mista, 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degenerativo-infiammatoria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 e ad eziologia prevalentemente microtraumatica, che interessano le strutture tendinee ad inserzione 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periarticolare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 (cuffia dei rotatori e capo lungo del bicipite) e la borsa 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sub-acromiale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. A seconda delle caratteristiche anatomo-patologiche e le localizzazioni anatomiche delle lesioni, si possono avere quadri clinici diversi, tutti comunque caratterizzati dalla localizzazione monolaterale della sintomatologia, dominata dal dolore e dalla limitazione funzionale. Tra i vari quadri di periartrite della spalla, la spalla dolorosa semplice (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SDs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) è l’espressione di una lesione tendinea esigua che interessa la cuffia dei rotatori e che è caratterizzata dalla prevalenza della componente 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algica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 sulla limitazione della motilità articolare. </w:t>
            </w:r>
          </w:p>
          <w:p w:rsidR="002B29C0" w:rsidRPr="00F97F5A" w:rsidRDefault="00433DBD" w:rsidP="007E4893">
            <w:pPr>
              <w:jc w:val="both"/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</w:pPr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 xml:space="preserve">L'efficacia analgesico-terapeutica e la tollerabilità di un campo elettromagnetico ELF, modulato alla frequenza di 100 Hz con forma d'onda sinusoidale e induzione media di pochi gauss, è stata dimostrata in numerosi studi condotti su varie patologie </w:t>
            </w:r>
            <w:proofErr w:type="spellStart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iperalgiche</w:t>
            </w:r>
            <w:proofErr w:type="spellEnd"/>
            <w:r w:rsidRPr="00433DBD">
              <w:rPr>
                <w:rFonts w:ascii="Times New Roman" w:eastAsiaTheme="majorEastAsia" w:hAnsi="Times New Roman" w:cs="Times New Roman"/>
                <w:b/>
                <w:iCs/>
                <w:color w:val="000000" w:themeColor="text1"/>
                <w:spacing w:val="15"/>
                <w:sz w:val="24"/>
                <w:szCs w:val="24"/>
              </w:rPr>
              <w:t>, in particolare dell'apparato locomotore.</w:t>
            </w:r>
          </w:p>
          <w:tbl>
            <w:tblPr>
              <w:tblStyle w:val="Grigliatabella"/>
              <w:tblW w:w="11389" w:type="dxa"/>
              <w:tblInd w:w="1" w:type="dxa"/>
              <w:tblLook w:val="04A0"/>
            </w:tblPr>
            <w:tblGrid>
              <w:gridCol w:w="7128"/>
              <w:gridCol w:w="4261"/>
            </w:tblGrid>
            <w:tr w:rsidR="00D27EF6" w:rsidTr="0062343D">
              <w:trPr>
                <w:trHeight w:val="4122"/>
              </w:trPr>
              <w:tc>
                <w:tcPr>
                  <w:tcW w:w="71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CDDC" w:themeFill="accent5" w:themeFillTint="99"/>
                </w:tcPr>
                <w:p w:rsidR="002B29C0" w:rsidRPr="002B29C0" w:rsidRDefault="002B29C0" w:rsidP="007E4893">
                  <w:pPr>
                    <w:jc w:val="both"/>
                    <w:rPr>
                      <w:rFonts w:ascii="Verdana" w:hAnsi="Verdana" w:cs="Times New Roman"/>
                    </w:rPr>
                  </w:pPr>
                  <w:r w:rsidRPr="002B29C0">
                    <w:rPr>
                      <w:rFonts w:ascii="Verdana" w:hAnsi="Verdana" w:cs="Times New Roman"/>
                      <w:b/>
                    </w:rPr>
                    <w:t>MATERIALI E METODI</w:t>
                  </w:r>
                  <w:r w:rsidRPr="002B29C0">
                    <w:rPr>
                      <w:rFonts w:ascii="Verdana" w:hAnsi="Verdana" w:cs="Times New Roman"/>
                    </w:rPr>
                    <w:t xml:space="preserve"> </w:t>
                  </w:r>
                </w:p>
                <w:p w:rsidR="00433DBD" w:rsidRPr="00433DBD" w:rsidRDefault="00433DBD" w:rsidP="00433D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Nella presente ricerca gli autori hanno sperimentato un nuovo tipo di campo magnetico pulsato (CEMP) sviluppato da AMEL, a variazione di frequenza, la cui frequenza si modifica nel tempo, in modo che, nella durata di una singola applicazione possano ricorrere tutti i codici ammessi, confrontandolo con un campo ELF (</w:t>
                  </w:r>
                  <w:proofErr w:type="spellStart"/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Extremely</w:t>
                  </w:r>
                  <w:proofErr w:type="spellEnd"/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Low </w:t>
                  </w:r>
                  <w:proofErr w:type="spellStart"/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Frequency</w:t>
                  </w:r>
                  <w:proofErr w:type="spellEnd"/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), cioè un campo magnetico a bassa frequenza.</w:t>
                  </w:r>
                </w:p>
                <w:p w:rsidR="00D1191B" w:rsidRDefault="00433DBD" w:rsidP="00433D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Ai fini del confronto sono stati arruolati 60 pazienti (28 donne e 32 uomini, di età compresa tra i 37 e i 66 anni), affetti da spalla dolorosa semplice, suddivisi in maniera randomizzata in tre gruppi di 20 soggetti ciascuno e sottoposti a trattamento di 30 minuti al giorno per 20 giorni. Un gruppo è stato esposto al CEMP AMEL, un altro al campo ELF, un terzo a trattamento simulato. Il campo simulato è stato inserito per escludere un effetto placebo. In tutti i pazienti è stato valutato prima dell’inizio, al termine del trattamento e dopo 30 giorni la scala del dolore e la funzionalità articolare.</w:t>
                  </w:r>
                </w:p>
                <w:p w:rsidR="00121AAF" w:rsidRPr="00D27EF6" w:rsidRDefault="00121AAF" w:rsidP="00433D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BE5F1" w:themeFill="accent1" w:themeFillTint="33"/>
                </w:tcPr>
                <w:p w:rsidR="007E4893" w:rsidRPr="007E4893" w:rsidRDefault="008B52F9" w:rsidP="007E4893">
                  <w:pPr>
                    <w:jc w:val="both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RISULTATI</w:t>
                  </w:r>
                </w:p>
                <w:p w:rsidR="00D1191B" w:rsidRPr="000F2766" w:rsidRDefault="00433DBD" w:rsidP="004B58E6">
                  <w:pPr>
                    <w:jc w:val="both"/>
                    <w:rPr>
                      <w:sz w:val="24"/>
                      <w:szCs w:val="24"/>
                    </w:rPr>
                  </w:pPr>
                  <w:r w:rsidRPr="00433D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pazienti dei gruppi trattati con CEMP AMEL e con campo ELF hanno concluso la terapia senza effetti collaterali e senza assumere antidolorifici e antiinfiammatori steroidei e non steroidei, con miglioramento della sintomatologia dolorosa soggettiva e della funzionalità articolare, miglioramento che persiste al controllo dopo un mese. Nel gruppo con trattamento simulato non si è riscontrato alcun miglioramento dei parametri. Inoltre, si è riscontrato che nei pazienti trattati con CEMP AMEL la risposta è avvenuta in tempi più rapidi.</w:t>
                  </w:r>
                </w:p>
              </w:tc>
            </w:tr>
          </w:tbl>
          <w:p w:rsidR="008C7771" w:rsidRDefault="00D1191B" w:rsidP="00B34049">
            <w:pPr>
              <w:jc w:val="both"/>
              <w:rPr>
                <w:rFonts w:ascii="Verdana" w:eastAsiaTheme="majorEastAsia" w:hAnsi="Verdana" w:cstheme="majorBidi"/>
                <w:b/>
                <w:iCs/>
                <w:color w:val="FF0000"/>
                <w:spacing w:val="15"/>
              </w:rPr>
            </w:pPr>
            <w:r w:rsidRPr="007E4893">
              <w:rPr>
                <w:rFonts w:ascii="Verdana" w:eastAsiaTheme="majorEastAsia" w:hAnsi="Verdana" w:cstheme="majorBidi"/>
                <w:b/>
                <w:iCs/>
                <w:color w:val="FF0000"/>
                <w:spacing w:val="15"/>
              </w:rPr>
              <w:t>CONCLUSIO</w:t>
            </w:r>
            <w:r w:rsidR="008C7771">
              <w:rPr>
                <w:rFonts w:ascii="Verdana" w:eastAsiaTheme="majorEastAsia" w:hAnsi="Verdana" w:cstheme="majorBidi"/>
                <w:b/>
                <w:iCs/>
                <w:color w:val="FF0000"/>
                <w:spacing w:val="15"/>
              </w:rPr>
              <w:t>NE</w:t>
            </w:r>
          </w:p>
          <w:p w:rsidR="00121AAF" w:rsidRPr="009E374A" w:rsidRDefault="008F0DF1" w:rsidP="00B34049">
            <w:pPr>
              <w:jc w:val="both"/>
              <w:rPr>
                <w:rFonts w:ascii="Times New Roman" w:eastAsiaTheme="majorEastAsia" w:hAnsi="Times New Roman" w:cs="Times New Roman"/>
                <w:iCs/>
                <w:spacing w:val="15"/>
                <w:sz w:val="24"/>
                <w:szCs w:val="24"/>
              </w:rPr>
            </w:pPr>
            <w:r w:rsidRPr="008F0DF1">
              <w:rPr>
                <w:rFonts w:ascii="Times New Roman" w:eastAsiaTheme="majorEastAsia" w:hAnsi="Times New Roman" w:cs="Times New Roman"/>
                <w:iCs/>
                <w:spacing w:val="15"/>
                <w:sz w:val="24"/>
                <w:szCs w:val="24"/>
              </w:rPr>
              <w:t xml:space="preserve">È ben conosciuto che l’esposizione a CEMP abbia una attività antidolorifica e che i CEMP siano stati introdotti nel trattamento del dolore e il nostro studio preliminare sembra confortare tali indicazioni. Dai dati raccolti si ricava che i campi magnetici pulsati possono essere utili nel trattamento della spalla dolorosa semplice e che gli effetti del nuovo sistema CEMP AMEL, per la sua tollerabilità e assenza di effetti collaterali e dopo ulteriori studi con casistica più ampia che confermino le qualità, lo rendono utilizzabile in molte patologie </w:t>
            </w:r>
            <w:proofErr w:type="spellStart"/>
            <w:r w:rsidRPr="008F0DF1">
              <w:rPr>
                <w:rFonts w:ascii="Times New Roman" w:eastAsiaTheme="majorEastAsia" w:hAnsi="Times New Roman" w:cs="Times New Roman"/>
                <w:iCs/>
                <w:spacing w:val="15"/>
                <w:sz w:val="24"/>
                <w:szCs w:val="24"/>
              </w:rPr>
              <w:t>algiche</w:t>
            </w:r>
            <w:proofErr w:type="spellEnd"/>
            <w:r w:rsidRPr="008F0DF1">
              <w:rPr>
                <w:rFonts w:ascii="Times New Roman" w:eastAsiaTheme="majorEastAsia" w:hAnsi="Times New Roman" w:cs="Times New Roman"/>
                <w:iCs/>
                <w:spacing w:val="15"/>
                <w:sz w:val="24"/>
                <w:szCs w:val="24"/>
              </w:rPr>
              <w:t>.</w:t>
            </w:r>
          </w:p>
          <w:p w:rsidR="007E4893" w:rsidRPr="007E4893" w:rsidRDefault="00451259" w:rsidP="007E4893">
            <w:pPr>
              <w:jc w:val="both"/>
              <w:rPr>
                <w:rFonts w:ascii="Verdana" w:eastAsiaTheme="majorEastAsia" w:hAnsi="Verdana" w:cstheme="majorBidi"/>
                <w:b/>
                <w:i/>
                <w:iCs/>
                <w:color w:val="FFFF00"/>
                <w:spacing w:val="15"/>
                <w:sz w:val="18"/>
                <w:szCs w:val="18"/>
              </w:rPr>
            </w:pPr>
            <w:r w:rsidRPr="00E73CEE">
              <w:rPr>
                <w:rFonts w:ascii="Verdana" w:eastAsiaTheme="majorEastAsia" w:hAnsi="Verdana" w:cstheme="majorBidi"/>
                <w:b/>
                <w:i/>
                <w:iCs/>
                <w:color w:val="FFFF00"/>
                <w:spacing w:val="15"/>
                <w:sz w:val="18"/>
                <w:szCs w:val="18"/>
              </w:rPr>
              <w:t>Bibliografia</w:t>
            </w:r>
          </w:p>
          <w:p w:rsidR="00B34049" w:rsidRPr="009E374A" w:rsidRDefault="009E374A" w:rsidP="009E374A">
            <w:pPr>
              <w:pStyle w:val="Paragrafoelenco"/>
              <w:numPr>
                <w:ilvl w:val="0"/>
                <w:numId w:val="7"/>
              </w:numPr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</w:pPr>
            <w:proofErr w:type="spellStart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Alqunaee</w:t>
            </w:r>
            <w:proofErr w:type="spellEnd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M., Galvin, R., &amp;amp; Fahey, T. Diagnostic accuracy of clinical tests for </w:t>
            </w:r>
            <w:proofErr w:type="spellStart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subacromial</w:t>
            </w:r>
            <w:proofErr w:type="spellEnd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impingement syndrome: a systematic review and meta-analysis. Archives of Physical Medicine and Rehabilitation, 2012, 93(2): 229-36.</w:t>
            </w:r>
          </w:p>
          <w:p w:rsidR="009E374A" w:rsidRPr="009E374A" w:rsidRDefault="009E374A" w:rsidP="009E374A">
            <w:pPr>
              <w:pStyle w:val="Paragrafoelenco"/>
              <w:numPr>
                <w:ilvl w:val="0"/>
                <w:numId w:val="7"/>
              </w:numPr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</w:pPr>
            <w:proofErr w:type="spellStart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Osti</w:t>
            </w:r>
            <w:proofErr w:type="spellEnd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L., Del </w:t>
            </w:r>
            <w:proofErr w:type="spellStart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Buono</w:t>
            </w:r>
            <w:proofErr w:type="spellEnd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A., </w:t>
            </w:r>
            <w:proofErr w:type="spellStart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Maffulli</w:t>
            </w:r>
            <w:proofErr w:type="spellEnd"/>
            <w:r w:rsidRPr="009E374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N., Pulsed Electromagnetic Fields after rotator cuff repair: a randomized, controlled study. Orthopedics. 2015; 38(3):223-8.</w:t>
            </w:r>
          </w:p>
          <w:p w:rsidR="00451259" w:rsidRPr="00F97F5A" w:rsidRDefault="00F97F5A" w:rsidP="00F97F5A">
            <w:pPr>
              <w:pStyle w:val="Paragrafoelenco"/>
              <w:numPr>
                <w:ilvl w:val="0"/>
                <w:numId w:val="7"/>
              </w:numPr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</w:pPr>
            <w:proofErr w:type="spellStart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Topa</w:t>
            </w:r>
            <w:proofErr w:type="spellEnd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G., Ventra M., </w:t>
            </w:r>
            <w:proofErr w:type="spellStart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Dato</w:t>
            </w:r>
            <w:proofErr w:type="spellEnd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G., </w:t>
            </w:r>
            <w:proofErr w:type="spellStart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Matonti</w:t>
            </w:r>
            <w:proofErr w:type="spellEnd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C., Analgesic effect of textile supports with Static Field Magnets in patients with </w:t>
            </w:r>
            <w:proofErr w:type="spellStart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Osteoarticular</w:t>
            </w:r>
            <w:proofErr w:type="spellEnd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Pain Syndrome: results of a randomized, placebo controlled, double blind clinical trial, Orthopedic e </w:t>
            </w:r>
            <w:proofErr w:type="spellStart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>Muscolar</w:t>
            </w:r>
            <w:proofErr w:type="spellEnd"/>
            <w:r w:rsidRPr="00F97F5A">
              <w:rPr>
                <w:rFonts w:ascii="Verdana" w:eastAsiaTheme="majorEastAsia" w:hAnsi="Verdana" w:cstheme="majorBidi"/>
                <w:b/>
                <w:i/>
                <w:iCs/>
                <w:spacing w:val="15"/>
                <w:sz w:val="14"/>
                <w:szCs w:val="14"/>
                <w:lang w:val="en-US"/>
              </w:rPr>
              <w:t xml:space="preserve"> System. 2015; 4(1):1000183.</w:t>
            </w:r>
          </w:p>
        </w:tc>
      </w:tr>
    </w:tbl>
    <w:p w:rsidR="003B29DB" w:rsidRPr="003B29DB" w:rsidRDefault="003B29DB" w:rsidP="00B55259">
      <w:pPr>
        <w:rPr>
          <w:lang w:val="en-US"/>
        </w:rPr>
      </w:pPr>
    </w:p>
    <w:sectPr w:rsidR="003B29DB" w:rsidRPr="003B29DB" w:rsidSect="009B0A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74" w:rsidRDefault="00290874" w:rsidP="009442A8">
      <w:pPr>
        <w:spacing w:after="0" w:line="240" w:lineRule="auto"/>
      </w:pPr>
      <w:r>
        <w:separator/>
      </w:r>
    </w:p>
  </w:endnote>
  <w:endnote w:type="continuationSeparator" w:id="0">
    <w:p w:rsidR="00290874" w:rsidRDefault="00290874" w:rsidP="0094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74" w:rsidRDefault="00290874" w:rsidP="009442A8">
      <w:pPr>
        <w:spacing w:after="0" w:line="240" w:lineRule="auto"/>
      </w:pPr>
      <w:r>
        <w:separator/>
      </w:r>
    </w:p>
  </w:footnote>
  <w:footnote w:type="continuationSeparator" w:id="0">
    <w:p w:rsidR="00290874" w:rsidRDefault="00290874" w:rsidP="0094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2A8" w:rsidRDefault="009442A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29AB"/>
    <w:multiLevelType w:val="hybridMultilevel"/>
    <w:tmpl w:val="07360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D72A0"/>
    <w:multiLevelType w:val="hybridMultilevel"/>
    <w:tmpl w:val="126040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7159"/>
    <w:multiLevelType w:val="hybridMultilevel"/>
    <w:tmpl w:val="83DC2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31D04"/>
    <w:multiLevelType w:val="hybridMultilevel"/>
    <w:tmpl w:val="01A8CD80"/>
    <w:lvl w:ilvl="0" w:tplc="21CA8DA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D514D"/>
    <w:multiLevelType w:val="hybridMultilevel"/>
    <w:tmpl w:val="8DB01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AA1AEE"/>
    <w:multiLevelType w:val="hybridMultilevel"/>
    <w:tmpl w:val="A57054C6"/>
    <w:lvl w:ilvl="0" w:tplc="08CA9512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D4433F"/>
    <w:multiLevelType w:val="hybridMultilevel"/>
    <w:tmpl w:val="0A8CDF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5BA"/>
    <w:rsid w:val="000101A3"/>
    <w:rsid w:val="000355BA"/>
    <w:rsid w:val="000373E1"/>
    <w:rsid w:val="00065788"/>
    <w:rsid w:val="000F2766"/>
    <w:rsid w:val="00114616"/>
    <w:rsid w:val="00121AAF"/>
    <w:rsid w:val="00290874"/>
    <w:rsid w:val="002B29C0"/>
    <w:rsid w:val="002E1020"/>
    <w:rsid w:val="00340788"/>
    <w:rsid w:val="00346F1C"/>
    <w:rsid w:val="00370C39"/>
    <w:rsid w:val="003B29DB"/>
    <w:rsid w:val="00410572"/>
    <w:rsid w:val="00433DBD"/>
    <w:rsid w:val="00451259"/>
    <w:rsid w:val="0046114D"/>
    <w:rsid w:val="00493D69"/>
    <w:rsid w:val="004A0FA0"/>
    <w:rsid w:val="004B58E6"/>
    <w:rsid w:val="004C25C8"/>
    <w:rsid w:val="004D4F5F"/>
    <w:rsid w:val="00535DE8"/>
    <w:rsid w:val="00542512"/>
    <w:rsid w:val="0057063C"/>
    <w:rsid w:val="00606CDD"/>
    <w:rsid w:val="0062343D"/>
    <w:rsid w:val="00647185"/>
    <w:rsid w:val="006506F1"/>
    <w:rsid w:val="00651A33"/>
    <w:rsid w:val="00666656"/>
    <w:rsid w:val="006709D2"/>
    <w:rsid w:val="006B6BE0"/>
    <w:rsid w:val="006D046D"/>
    <w:rsid w:val="00712EEE"/>
    <w:rsid w:val="007533D3"/>
    <w:rsid w:val="00761DE4"/>
    <w:rsid w:val="00780E8E"/>
    <w:rsid w:val="007E4893"/>
    <w:rsid w:val="00803D49"/>
    <w:rsid w:val="00891D6F"/>
    <w:rsid w:val="008B52F9"/>
    <w:rsid w:val="008C7771"/>
    <w:rsid w:val="008E27BA"/>
    <w:rsid w:val="008F0DF1"/>
    <w:rsid w:val="009442A8"/>
    <w:rsid w:val="009856B7"/>
    <w:rsid w:val="009B0A01"/>
    <w:rsid w:val="009E374A"/>
    <w:rsid w:val="009F3257"/>
    <w:rsid w:val="00A27DE9"/>
    <w:rsid w:val="00A763B9"/>
    <w:rsid w:val="00AF4FB0"/>
    <w:rsid w:val="00B163DB"/>
    <w:rsid w:val="00B261CD"/>
    <w:rsid w:val="00B34049"/>
    <w:rsid w:val="00B55259"/>
    <w:rsid w:val="00BD367A"/>
    <w:rsid w:val="00BE66A4"/>
    <w:rsid w:val="00C16A35"/>
    <w:rsid w:val="00C95963"/>
    <w:rsid w:val="00CF02C9"/>
    <w:rsid w:val="00D07885"/>
    <w:rsid w:val="00D1191B"/>
    <w:rsid w:val="00D11C64"/>
    <w:rsid w:val="00D27EF6"/>
    <w:rsid w:val="00D56AA6"/>
    <w:rsid w:val="00D5707F"/>
    <w:rsid w:val="00D939D6"/>
    <w:rsid w:val="00DB4987"/>
    <w:rsid w:val="00DE7DE1"/>
    <w:rsid w:val="00DF2392"/>
    <w:rsid w:val="00E17878"/>
    <w:rsid w:val="00E24A36"/>
    <w:rsid w:val="00E73CEE"/>
    <w:rsid w:val="00ED1A44"/>
    <w:rsid w:val="00EE4223"/>
    <w:rsid w:val="00F61572"/>
    <w:rsid w:val="00F97F5A"/>
    <w:rsid w:val="00FA6A70"/>
    <w:rsid w:val="00FF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A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4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F4FB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6A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6A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4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2A8"/>
  </w:style>
  <w:style w:type="paragraph" w:styleId="Pidipagina">
    <w:name w:val="footer"/>
    <w:basedOn w:val="Normale"/>
    <w:link w:val="PidipaginaCarattere"/>
    <w:uiPriority w:val="99"/>
    <w:unhideWhenUsed/>
    <w:rsid w:val="0094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518E-558D-41FF-8DC3-A643D899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Albanese</dc:creator>
  <cp:lastModifiedBy>Emilio Battisti</cp:lastModifiedBy>
  <cp:revision>3</cp:revision>
  <dcterms:created xsi:type="dcterms:W3CDTF">2025-09-22T08:30:00Z</dcterms:created>
  <dcterms:modified xsi:type="dcterms:W3CDTF">2025-09-22T08:39:00Z</dcterms:modified>
</cp:coreProperties>
</file>